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4B25" w14:textId="77777777" w:rsidR="00000000" w:rsidRDefault="00F27CD9">
      <w:pPr>
        <w:pStyle w:val="NormalWeb"/>
      </w:pPr>
      <w:r>
        <w:t>Quick facts about the Master's thesis.</w:t>
      </w:r>
    </w:p>
    <w:p w14:paraId="42CEC027" w14:textId="77777777" w:rsidR="00000000" w:rsidRDefault="00F27C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thesis student will conduct original and in-depth research in a subject area of IT under guidance of a faulty advisor and a thesis committee </w:t>
      </w:r>
    </w:p>
    <w:p w14:paraId="10AE7FB9" w14:textId="77777777" w:rsidR="00000000" w:rsidRDefault="00F27C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master's thesis is generally 50-100 pages and will be published in KSU library. Actual length is determined by</w:t>
      </w:r>
      <w:r>
        <w:rPr>
          <w:rFonts w:eastAsia="Times New Roman"/>
        </w:rPr>
        <w:t xml:space="preserve"> the thesis student and his/her committee</w:t>
      </w:r>
    </w:p>
    <w:p w14:paraId="116690BC" w14:textId="77777777" w:rsidR="00000000" w:rsidRDefault="00F27C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student who writes thesis will do so over two semesters</w:t>
      </w:r>
    </w:p>
    <w:p w14:paraId="26CB3C70" w14:textId="77777777" w:rsidR="00000000" w:rsidRDefault="00F27C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Thesis credits count toward MIST elective requirement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34BF7"/>
    <w:multiLevelType w:val="multilevel"/>
    <w:tmpl w:val="EEF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D9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D824DC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375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2020-12-14T21:00:00Z</dcterms:created>
  <dcterms:modified xsi:type="dcterms:W3CDTF">2020-12-14T21:00:00Z</dcterms:modified>
</cp:coreProperties>
</file>